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9.png" ContentType="image/png"/>
  <Override PartName="/word/media/image8.png" ContentType="image/png"/>
  <Override PartName="/word/media/image7.png" ContentType="image/png"/>
  <Override PartName="/word/media/image2.png" ContentType="image/png"/>
  <Override PartName="/word/media/image1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118" w:type="dxa"/>
        <w:jc w:val="center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1275"/>
        <w:gridCol w:w="3907"/>
      </w:tblGrid>
      <w:tr>
        <w:trPr>
          <w:cantSplit w:val="true"/>
        </w:trPr>
        <w:tc>
          <w:tcPr>
            <w:tcW w:w="3936" w:type="dxa"/>
            <w:tcBorders/>
            <w:shd w:fill="auto" w:val="clear"/>
          </w:tcPr>
          <w:p>
            <w:pPr>
              <w:pStyle w:val="Normal"/>
              <w:jc w:val="center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 xml:space="preserve">РОССИЙСКАЯ ФЕДЕРАЦИЯ РЕСПУБЛИКА ХАКАСИЯ </w:t>
            </w:r>
          </w:p>
          <w:p>
            <w:pPr>
              <w:pStyle w:val="Normal"/>
              <w:jc w:val="center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АДМИНИСТРАЦИЯ</w:t>
            </w:r>
          </w:p>
          <w:p>
            <w:pPr>
              <w:pStyle w:val="Normal"/>
              <w:jc w:val="center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ВЕРХ-АСКИЗСКОГО СЕЛЬСОВЕТА</w:t>
            </w:r>
          </w:p>
        </w:tc>
        <w:tc>
          <w:tcPr>
            <w:tcW w:w="1275" w:type="dxa"/>
            <w:tcBorders/>
            <w:shd w:fill="auto" w:val="clear"/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  <w:tc>
          <w:tcPr>
            <w:tcW w:w="3907" w:type="dxa"/>
            <w:tcBorders/>
            <w:shd w:fill="auto" w:val="clear"/>
          </w:tcPr>
          <w:p>
            <w:pPr>
              <w:pStyle w:val="Normal"/>
              <w:jc w:val="center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РОССИЯ ФЕДЕРАЦИЯЗЫ</w:t>
            </w:r>
          </w:p>
          <w:p>
            <w:pPr>
              <w:pStyle w:val="Normal"/>
              <w:jc w:val="center"/>
              <w:rPr>
                <w:sz w:val="26"/>
                <w:szCs w:val="24"/>
              </w:rPr>
            </w:pPr>
            <w:r>
              <w:rPr>
                <w:sz w:val="26"/>
                <w:szCs w:val="24"/>
              </w:rPr>
              <w:t>ХАКАС РЕСПУБЛИКА</w:t>
            </w:r>
          </w:p>
          <w:p>
            <w:pPr>
              <w:pStyle w:val="Normal"/>
              <w:jc w:val="center"/>
              <w:rPr/>
            </w:pPr>
            <w:r>
              <w:rPr>
                <w:sz w:val="26"/>
                <w:szCs w:val="24"/>
              </w:rPr>
              <w:t>АСХЫС ЧО</w:t>
            </w:r>
            <w:r>
              <w:rPr>
                <w:sz w:val="26"/>
                <w:szCs w:val="24"/>
                <w:lang w:val="en-US"/>
              </w:rPr>
              <w:t>F</w:t>
            </w:r>
            <w:r>
              <w:rPr>
                <w:sz w:val="26"/>
                <w:szCs w:val="24"/>
              </w:rPr>
              <w:t>АРХЫ ААЛ ЧОБ</w:t>
            </w:r>
            <w:r>
              <w:rPr>
                <w:sz w:val="26"/>
                <w:szCs w:val="24"/>
                <w:lang w:val="en-US"/>
              </w:rPr>
              <w:t>I</w:t>
            </w:r>
            <w:r>
              <w:rPr>
                <w:sz w:val="26"/>
                <w:szCs w:val="24"/>
              </w:rPr>
              <w:t>Н</w:t>
            </w:r>
            <w:r>
              <w:rPr>
                <w:sz w:val="26"/>
                <w:szCs w:val="24"/>
                <w:lang w:val="en-US"/>
              </w:rPr>
              <w:t>I</w:t>
            </w:r>
            <w:r>
              <w:rPr>
                <w:sz w:val="26"/>
                <w:szCs w:val="24"/>
              </w:rPr>
              <w:t>Н,</w:t>
            </w:r>
          </w:p>
          <w:p>
            <w:pPr>
              <w:pStyle w:val="Normal"/>
              <w:jc w:val="center"/>
              <w:rPr/>
            </w:pPr>
            <w:r>
              <w:rPr>
                <w:sz w:val="26"/>
                <w:szCs w:val="24"/>
              </w:rPr>
              <w:t>УСТА</w:t>
            </w:r>
            <w:r>
              <w:rPr>
                <w:sz w:val="26"/>
                <w:szCs w:val="24"/>
                <w:lang w:val="en-US"/>
              </w:rPr>
              <w:t>F</w:t>
            </w:r>
            <w:r>
              <w:rPr>
                <w:sz w:val="26"/>
                <w:szCs w:val="24"/>
              </w:rPr>
              <w:t>-ПАСТАА</w:t>
            </w:r>
          </w:p>
          <w:p>
            <w:pPr>
              <w:pStyle w:val="Normal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</w:tc>
      </w:tr>
    </w:tbl>
    <w:p>
      <w:pPr>
        <w:pStyle w:val="Normal"/>
        <w:jc w:val="center"/>
        <w:rPr>
          <w:sz w:val="26"/>
          <w:szCs w:val="24"/>
        </w:rPr>
      </w:pPr>
      <w:r>
        <w:rPr>
          <w:sz w:val="26"/>
          <w:szCs w:val="24"/>
        </w:rPr>
      </w:r>
    </w:p>
    <w:p>
      <w:pPr>
        <w:pStyle w:val="Normal"/>
        <w:jc w:val="center"/>
        <w:rPr>
          <w:b/>
          <w:b/>
          <w:sz w:val="26"/>
          <w:szCs w:val="24"/>
        </w:rPr>
      </w:pPr>
      <w:r>
        <w:rPr>
          <w:b/>
          <w:sz w:val="26"/>
          <w:szCs w:val="24"/>
        </w:rPr>
      </w:r>
    </w:p>
    <w:p>
      <w:pPr>
        <w:pStyle w:val="Normal"/>
        <w:jc w:val="center"/>
        <w:rPr>
          <w:b/>
          <w:b/>
          <w:sz w:val="26"/>
          <w:szCs w:val="24"/>
        </w:rPr>
      </w:pPr>
      <w:r>
        <w:rPr>
          <w:b/>
          <w:sz w:val="26"/>
          <w:szCs w:val="24"/>
        </w:rPr>
        <w:t>ПОСТАНОВЛЕНИЕ</w:t>
      </w:r>
    </w:p>
    <w:p>
      <w:pPr>
        <w:pStyle w:val="Normal"/>
        <w:jc w:val="center"/>
        <w:rPr>
          <w:b/>
          <w:b/>
          <w:sz w:val="26"/>
          <w:szCs w:val="24"/>
        </w:rPr>
      </w:pPr>
      <w:r>
        <w:rPr>
          <w:b/>
          <w:sz w:val="26"/>
          <w:szCs w:val="24"/>
        </w:rPr>
      </w:r>
    </w:p>
    <w:p>
      <w:pPr>
        <w:pStyle w:val="Normal"/>
        <w:jc w:val="center"/>
        <w:rPr>
          <w:sz w:val="26"/>
          <w:szCs w:val="24"/>
        </w:rPr>
      </w:pPr>
      <w:r>
        <w:rPr>
          <w:sz w:val="26"/>
          <w:szCs w:val="24"/>
        </w:rPr>
      </w:r>
    </w:p>
    <w:p>
      <w:pPr>
        <w:pStyle w:val="Normal"/>
        <w:rPr>
          <w:sz w:val="26"/>
          <w:szCs w:val="24"/>
        </w:rPr>
      </w:pPr>
      <w:r>
        <w:rPr>
          <w:sz w:val="26"/>
          <w:szCs w:val="24"/>
        </w:rPr>
        <w:t xml:space="preserve">От  23.07.2019 г. </w:t>
        <w:tab/>
        <w:tab/>
        <w:t xml:space="preserve">              с. Верх-Аскиз                                               № 20</w:t>
      </w:r>
    </w:p>
    <w:p>
      <w:pPr>
        <w:pStyle w:val="Normal"/>
        <w:rPr>
          <w:sz w:val="26"/>
          <w:szCs w:val="24"/>
        </w:rPr>
      </w:pPr>
      <w:r>
        <w:rPr>
          <w:sz w:val="26"/>
          <w:szCs w:val="24"/>
        </w:rPr>
      </w:r>
    </w:p>
    <w:p>
      <w:pPr>
        <w:pStyle w:val="Normal"/>
        <w:rPr>
          <w:sz w:val="26"/>
          <w:szCs w:val="24"/>
        </w:rPr>
      </w:pPr>
      <w:r>
        <w:rPr>
          <w:sz w:val="26"/>
          <w:szCs w:val="24"/>
        </w:rPr>
      </w:r>
    </w:p>
    <w:p>
      <w:pPr>
        <w:pStyle w:val="Normal"/>
        <w:jc w:val="both"/>
        <w:rPr>
          <w:b/>
          <w:b/>
          <w:bCs/>
          <w:sz w:val="26"/>
          <w:szCs w:val="24"/>
        </w:rPr>
      </w:pPr>
      <w:r>
        <w:rPr>
          <w:b/>
          <w:bCs/>
          <w:sz w:val="26"/>
          <w:szCs w:val="24"/>
        </w:rPr>
        <w:t xml:space="preserve">Об утверждении реестра и схемы мест размещения </w:t>
      </w:r>
    </w:p>
    <w:p>
      <w:pPr>
        <w:pStyle w:val="Normal"/>
        <w:jc w:val="both"/>
        <w:rPr>
          <w:b/>
          <w:b/>
          <w:bCs/>
          <w:sz w:val="26"/>
          <w:szCs w:val="24"/>
        </w:rPr>
      </w:pPr>
      <w:r>
        <w:rPr>
          <w:b/>
          <w:bCs/>
          <w:sz w:val="26"/>
          <w:szCs w:val="24"/>
        </w:rPr>
        <w:t xml:space="preserve">контейнерных площадок для временного </w:t>
      </w:r>
    </w:p>
    <w:p>
      <w:pPr>
        <w:pStyle w:val="Normal"/>
        <w:jc w:val="both"/>
        <w:rPr>
          <w:b/>
          <w:b/>
          <w:bCs/>
          <w:sz w:val="26"/>
          <w:szCs w:val="24"/>
        </w:rPr>
      </w:pPr>
      <w:r>
        <w:rPr>
          <w:b/>
          <w:bCs/>
          <w:sz w:val="26"/>
          <w:szCs w:val="24"/>
        </w:rPr>
        <w:t>хранения твердых коммунальных отходов на</w:t>
      </w:r>
    </w:p>
    <w:p>
      <w:pPr>
        <w:pStyle w:val="Normal"/>
        <w:jc w:val="both"/>
        <w:rPr>
          <w:b/>
          <w:b/>
          <w:bCs/>
          <w:sz w:val="26"/>
          <w:szCs w:val="24"/>
        </w:rPr>
      </w:pPr>
      <w:r>
        <w:rPr>
          <w:b/>
          <w:bCs/>
          <w:sz w:val="26"/>
          <w:szCs w:val="24"/>
        </w:rPr>
        <w:t xml:space="preserve">территории Верх-Аскизского сельсовета </w:t>
      </w:r>
    </w:p>
    <w:p>
      <w:pPr>
        <w:pStyle w:val="Normal"/>
        <w:jc w:val="both"/>
        <w:rPr>
          <w:b/>
          <w:b/>
          <w:bCs/>
          <w:sz w:val="26"/>
          <w:szCs w:val="24"/>
        </w:rPr>
      </w:pPr>
      <w:r>
        <w:rPr>
          <w:b/>
          <w:bCs/>
          <w:sz w:val="26"/>
          <w:szCs w:val="24"/>
        </w:rPr>
      </w:r>
    </w:p>
    <w:p>
      <w:pPr>
        <w:pStyle w:val="Normal"/>
        <w:jc w:val="both"/>
        <w:rPr/>
      </w:pPr>
      <w:r>
        <w:rPr>
          <w:b/>
          <w:bCs/>
          <w:sz w:val="26"/>
          <w:szCs w:val="24"/>
        </w:rPr>
        <w:tab/>
      </w:r>
      <w:r>
        <w:rPr>
          <w:sz w:val="27"/>
          <w:szCs w:val="27"/>
        </w:rPr>
        <w:t>В целях обеспечения охраны окружающей среды и здоровья человека на территории Верх-Аскизского сельсовета Аскизского района Республики Хакасия, в соответствии с Федеральным законом от 06.03.2003 №131-ФЗ «Об общих принципах организации местного самоуправления в Российской Федерации»,</w:t>
      </w:r>
    </w:p>
    <w:p>
      <w:pPr>
        <w:pStyle w:val="Normal"/>
        <w:jc w:val="both"/>
        <w:rPr>
          <w:sz w:val="27"/>
          <w:szCs w:val="27"/>
        </w:rPr>
      </w:pPr>
      <w:r>
        <w:rPr>
          <w:sz w:val="27"/>
          <w:szCs w:val="27"/>
        </w:rPr>
        <w:t>«Правило по благоустройству и санитарного  содержания территории муниципального образования Верх-Аскизский сельсовет» администрации Верх-Аскизского сельсовета</w:t>
      </w:r>
    </w:p>
    <w:p>
      <w:pPr>
        <w:pStyle w:val="Normal"/>
        <w:shd w:fill="FFFFFF" w:val="clear"/>
        <w:spacing w:before="0" w:after="150"/>
        <w:jc w:val="both"/>
        <w:rPr>
          <w:sz w:val="27"/>
          <w:szCs w:val="27"/>
        </w:rPr>
      </w:pPr>
      <w:r>
        <w:rPr>
          <w:sz w:val="27"/>
          <w:szCs w:val="27"/>
        </w:rPr>
        <w:t>ПОСТАНОВЛЯЕТ:</w:t>
      </w:r>
    </w:p>
    <w:p>
      <w:pPr>
        <w:pStyle w:val="Normal"/>
        <w:shd w:fill="FFFFFF" w:val="clear"/>
        <w:spacing w:before="0" w:after="150"/>
        <w:jc w:val="both"/>
        <w:rPr/>
      </w:pPr>
      <w:r>
        <w:rPr>
          <w:sz w:val="27"/>
          <w:szCs w:val="27"/>
        </w:rPr>
        <w:t>1.Утвердить реестр мест размещения контейнерных площадок для сбора ТКО на территории Верх-Аскизского сельсовета Аскизского района</w:t>
        <w:br/>
        <w:t>( Приложение №1).</w:t>
      </w:r>
    </w:p>
    <w:p>
      <w:pPr>
        <w:pStyle w:val="Normal"/>
        <w:shd w:fill="FFFFFF" w:val="clear"/>
        <w:spacing w:before="0" w:after="150"/>
        <w:jc w:val="both"/>
        <w:rPr/>
      </w:pPr>
      <w:r>
        <w:rPr>
          <w:sz w:val="27"/>
          <w:szCs w:val="27"/>
        </w:rPr>
        <w:t>2.Утвердить схему мест размещения контейнерных площадок для сбора ТКО на территории Верх-Аскизского сельсовета Аскизского района (Приложения№2).</w:t>
      </w:r>
    </w:p>
    <w:p>
      <w:pPr>
        <w:pStyle w:val="Normal"/>
        <w:shd w:fill="FFFFFF" w:val="clear"/>
        <w:spacing w:before="0" w:after="150"/>
        <w:jc w:val="both"/>
        <w:rPr>
          <w:color w:val="3C3C3C"/>
          <w:sz w:val="27"/>
          <w:szCs w:val="27"/>
        </w:rPr>
      </w:pPr>
      <w:r>
        <w:rPr>
          <w:sz w:val="27"/>
          <w:szCs w:val="27"/>
        </w:rPr>
        <w:t>3.Обнародовать настоящее постановление на информационном стенде администрации и разместить на официальном сайте Верх-Аскизского</w:t>
      </w:r>
      <w:r>
        <w:rPr>
          <w:color w:val="3C3C3C"/>
          <w:sz w:val="27"/>
          <w:szCs w:val="27"/>
        </w:rPr>
        <w:t xml:space="preserve"> сельсовета.</w:t>
      </w:r>
    </w:p>
    <w:p>
      <w:pPr>
        <w:pStyle w:val="Normal"/>
        <w:shd w:fill="FFFFFF" w:val="clear"/>
        <w:spacing w:before="0" w:after="150"/>
        <w:jc w:val="both"/>
        <w:rPr>
          <w:rFonts w:ascii="Arial" w:hAnsi="Arial" w:cs="Arial"/>
          <w:color w:val="3C3C3C"/>
          <w:sz w:val="27"/>
          <w:szCs w:val="27"/>
        </w:rPr>
      </w:pPr>
      <w:r>
        <w:rPr>
          <w:rFonts w:cs="Arial" w:ascii="Arial" w:hAnsi="Arial"/>
          <w:color w:val="3C3C3C"/>
          <w:sz w:val="27"/>
          <w:szCs w:val="27"/>
        </w:rPr>
      </w:r>
    </w:p>
    <w:p>
      <w:pPr>
        <w:pStyle w:val="Normal"/>
        <w:shd w:fill="FFFFFF" w:val="clear"/>
        <w:spacing w:before="0" w:after="150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и.о. главы Верх-Аскизского сельсовета       </w:t>
        <w:tab/>
        <w:tab/>
        <w:t xml:space="preserve">             О.А. Угдыжекова</w:t>
      </w:r>
    </w:p>
    <w:p>
      <w:pPr>
        <w:pStyle w:val="Normal"/>
        <w:ind w:left="240" w:hanging="0"/>
        <w:rPr>
          <w:sz w:val="26"/>
          <w:szCs w:val="27"/>
        </w:rPr>
      </w:pPr>
      <w:r>
        <w:rPr>
          <w:sz w:val="26"/>
          <w:szCs w:val="27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 xml:space="preserve">Реестр размещения мест расположения бункеров </w:t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  <w:t>для твердых бытовых отходов</w:t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jc w:val="center"/>
        <w:rPr>
          <w:b/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W w:w="9864" w:type="dxa"/>
        <w:jc w:val="left"/>
        <w:tblInd w:w="-11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2"/>
        <w:gridCol w:w="3049"/>
        <w:gridCol w:w="2359"/>
        <w:gridCol w:w="1927"/>
        <w:gridCol w:w="1937"/>
      </w:tblGrid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jc w:val="center"/>
              <w:rPr/>
            </w:pPr>
            <w:r>
              <w:rPr/>
              <w:t>№</w:t>
            </w:r>
          </w:p>
          <w:p>
            <w:pPr>
              <w:pStyle w:val="Normal"/>
              <w:autoSpaceDE w:val="false"/>
              <w:jc w:val="center"/>
              <w:rPr/>
            </w:pPr>
            <w:r>
              <w:rPr/>
              <w:t>п/п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jc w:val="center"/>
              <w:rPr/>
            </w:pPr>
            <w:r>
              <w:rPr/>
              <w:t>Адрес контейнерной площадки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autoSpaceDE w:val="false"/>
              <w:jc w:val="center"/>
              <w:rPr/>
            </w:pPr>
            <w:r>
              <w:rPr/>
              <w:t>Адреса объектов недвижимости, закрепленных за контейнерной площадкой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Количество контейнеров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Объем мусорных контейнеров</w:t>
            </w:r>
          </w:p>
        </w:tc>
      </w:tr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д. Казановка, ул. Историческая (в 70 м на юго-восток от д. №4)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 Казановка, ул. Историческая, д.№4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 куб.м.</w:t>
            </w:r>
          </w:p>
        </w:tc>
      </w:tr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 Казановка, ул. Школьная (в 50 м на северо-восток от д. №5А)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Д. Казановка, ул. Школьная, №д 5А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 куб.м.</w:t>
            </w:r>
          </w:p>
        </w:tc>
      </w:tr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 Казановка, ул. Новая (в 70 м на северо-восток от д. №12А)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Д. Казановка, ул. Новая, д.№12а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 куб.м.</w:t>
            </w:r>
          </w:p>
        </w:tc>
      </w:tr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ул. Свободная (в 100 м на восток от д. №2)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ул. Свободная д.№2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 куб.м.</w:t>
            </w:r>
          </w:p>
        </w:tc>
      </w:tr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 ул. Мира (в 80 м на север от д. №127А)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ул. Мира, №127А</w:t>
            </w:r>
          </w:p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 куб.м.</w:t>
            </w:r>
          </w:p>
        </w:tc>
      </w:tr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 ул. Мира (в 80 м на северо-восток от д. №132)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ул. Мира, д.№132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 куб.м.</w:t>
            </w:r>
          </w:p>
        </w:tc>
      </w:tr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пер. Центральный (в 40 м на северо-запад от д. №1)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пер. Центральный,д.№1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 куб.м.</w:t>
            </w:r>
          </w:p>
        </w:tc>
      </w:tr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 ул. Мира (в 100 м на восток от д. №45)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ул. Мира д.№45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 куб.м.</w:t>
            </w:r>
          </w:p>
        </w:tc>
      </w:tr>
      <w:tr>
        <w:trPr/>
        <w:tc>
          <w:tcPr>
            <w:tcW w:w="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с. Верх-Аскиз, ул. Мира (в 100 м на восток от д. №15В) </w:t>
            </w:r>
          </w:p>
        </w:tc>
        <w:tc>
          <w:tcPr>
            <w:tcW w:w="2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С. Верх-Аскиз, ул. Мира, д. №15В</w:t>
            </w:r>
          </w:p>
        </w:tc>
        <w:tc>
          <w:tcPr>
            <w:tcW w:w="1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0,75 куб.м.</w:t>
            </w:r>
          </w:p>
        </w:tc>
      </w:tr>
    </w:tbl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ind w:firstLine="708"/>
        <w:jc w:val="both"/>
        <w:rPr>
          <w:rStyle w:val="StrongEmphasis"/>
          <w:bCs w:val="false"/>
          <w:sz w:val="26"/>
          <w:szCs w:val="26"/>
        </w:rPr>
      </w:pPr>
      <w:r>
        <w:rPr>
          <w:b/>
          <w:sz w:val="26"/>
          <w:szCs w:val="26"/>
        </w:rPr>
        <w:t xml:space="preserve"> </w:t>
      </w:r>
    </w:p>
    <w:p>
      <w:pPr>
        <w:pStyle w:val="Normal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  </w:t>
      </w:r>
    </w:p>
    <w:p>
      <w:pPr>
        <w:pStyle w:val="Normal"/>
        <w:rPr>
          <w:bCs/>
          <w:sz w:val="26"/>
          <w:szCs w:val="26"/>
        </w:rPr>
      </w:pPr>
      <w:r>
        <w:rPr>
          <w:sz w:val="26"/>
          <w:szCs w:val="26"/>
        </w:rPr>
        <w:t xml:space="preserve">  </w:t>
      </w:r>
    </w:p>
    <w:p>
      <w:pPr>
        <w:pStyle w:val="Normal"/>
        <w:ind w:left="240" w:hanging="0"/>
        <w:rPr>
          <w:bCs/>
          <w:sz w:val="26"/>
          <w:szCs w:val="26"/>
        </w:rPr>
      </w:pPr>
      <w:r>
        <w:rPr>
          <w:bCs/>
          <w:sz w:val="26"/>
          <w:szCs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widowControl w:val="false"/>
        <w:suppressAutoHyphens w:val="true"/>
        <w:jc w:val="right"/>
        <w:rPr>
          <w:rFonts w:eastAsia="Lucida Sans Unicode"/>
          <w:color w:val="000000"/>
          <w:sz w:val="24"/>
          <w:szCs w:val="24"/>
          <w:lang w:eastAsia="en-US" w:bidi="en-US"/>
        </w:rPr>
      </w:pPr>
      <w:r>
        <w:rPr>
          <w:rFonts w:eastAsia="Lucida Sans Unicode"/>
          <w:color w:val="000000"/>
          <w:sz w:val="24"/>
          <w:szCs w:val="24"/>
          <w:lang w:eastAsia="en-US" w:bidi="en-US"/>
        </w:rPr>
      </w:r>
    </w:p>
    <w:p>
      <w:pPr>
        <w:pStyle w:val="Normal"/>
        <w:widowControl w:val="false"/>
        <w:suppressAutoHyphens w:val="true"/>
        <w:jc w:val="right"/>
        <w:rPr>
          <w:rFonts w:eastAsia="Lucida Sans Unicode"/>
          <w:color w:val="000000"/>
          <w:sz w:val="24"/>
          <w:szCs w:val="24"/>
          <w:lang w:eastAsia="en-US" w:bidi="en-US"/>
        </w:rPr>
      </w:pPr>
      <w:r>
        <w:rPr>
          <w:rFonts w:eastAsia="Lucida Sans Unicode"/>
          <w:color w:val="000000"/>
          <w:sz w:val="24"/>
          <w:szCs w:val="24"/>
          <w:lang w:eastAsia="en-US" w:bidi="en-US"/>
        </w:rPr>
      </w:r>
    </w:p>
    <w:p>
      <w:pPr>
        <w:pStyle w:val="Normal"/>
        <w:widowControl w:val="false"/>
        <w:suppressAutoHyphens w:val="true"/>
        <w:jc w:val="right"/>
        <w:rPr>
          <w:rFonts w:eastAsia="Lucida Sans Unicode"/>
          <w:color w:val="000000"/>
          <w:sz w:val="24"/>
          <w:szCs w:val="24"/>
          <w:lang w:eastAsia="en-US" w:bidi="en-US"/>
        </w:rPr>
      </w:pPr>
      <w:r>
        <w:rPr>
          <w:rFonts w:eastAsia="Lucida Sans Unicode"/>
          <w:color w:val="000000"/>
          <w:sz w:val="24"/>
          <w:szCs w:val="24"/>
          <w:lang w:eastAsia="en-US" w:bidi="en-US"/>
        </w:rPr>
      </w:r>
    </w:p>
    <w:p>
      <w:pPr>
        <w:pStyle w:val="Normal"/>
        <w:widowControl w:val="false"/>
        <w:suppressAutoHyphens w:val="true"/>
        <w:jc w:val="right"/>
        <w:rPr>
          <w:rFonts w:eastAsia="Lucida Sans Unicode"/>
          <w:color w:val="000000"/>
          <w:sz w:val="24"/>
          <w:szCs w:val="24"/>
          <w:lang w:eastAsia="en-US" w:bidi="en-US"/>
        </w:rPr>
      </w:pPr>
      <w:r>
        <w:rPr>
          <w:rFonts w:eastAsia="Lucida Sans Unicode"/>
          <w:color w:val="000000"/>
          <w:sz w:val="24"/>
          <w:szCs w:val="24"/>
          <w:lang w:eastAsia="en-US" w:bidi="en-US"/>
        </w:rPr>
      </w:r>
    </w:p>
    <w:p>
      <w:pPr>
        <w:pStyle w:val="Normal"/>
        <w:widowControl w:val="false"/>
        <w:suppressAutoHyphens w:val="true"/>
        <w:jc w:val="right"/>
        <w:rPr>
          <w:rFonts w:eastAsia="Lucida Sans Unicode"/>
          <w:color w:val="000000"/>
          <w:sz w:val="24"/>
          <w:szCs w:val="24"/>
          <w:lang w:eastAsia="en-US" w:bidi="en-US"/>
        </w:rPr>
      </w:pPr>
      <w:r>
        <w:rPr>
          <w:rFonts w:eastAsia="Lucida Sans Unicode"/>
          <w:color w:val="000000"/>
          <w:sz w:val="24"/>
          <w:szCs w:val="24"/>
          <w:lang w:eastAsia="en-US" w:bidi="en-US"/>
        </w:rPr>
      </w:r>
    </w:p>
    <w:p>
      <w:pPr>
        <w:pStyle w:val="Normal"/>
        <w:widowControl w:val="false"/>
        <w:suppressAutoHyphens w:val="true"/>
        <w:jc w:val="right"/>
        <w:rPr>
          <w:color w:val="000000"/>
          <w:sz w:val="24"/>
          <w:szCs w:val="24"/>
          <w:lang w:eastAsia="en-US" w:bidi="en-US"/>
        </w:rPr>
      </w:pPr>
      <w:r>
        <w:rPr>
          <w:rFonts w:eastAsia="Times New Roman"/>
          <w:color w:val="000000"/>
          <w:sz w:val="24"/>
          <w:szCs w:val="24"/>
          <w:lang w:eastAsia="en-US" w:bidi="en-US"/>
        </w:rPr>
        <w:t xml:space="preserve">   </w:t>
      </w:r>
      <w:r>
        <w:rPr>
          <w:rFonts w:eastAsia="Lucida Sans Unicode"/>
          <w:color w:val="000000"/>
          <w:sz w:val="24"/>
          <w:szCs w:val="24"/>
          <w:lang w:eastAsia="en-US" w:bidi="en-US"/>
        </w:rPr>
        <w:t>Приложение №2</w:t>
      </w:r>
    </w:p>
    <w:p>
      <w:pPr>
        <w:pStyle w:val="Normal"/>
        <w:widowControl w:val="false"/>
        <w:suppressAutoHyphens w:val="true"/>
        <w:jc w:val="right"/>
        <w:rPr>
          <w:color w:val="000000"/>
          <w:sz w:val="24"/>
          <w:szCs w:val="24"/>
          <w:lang w:eastAsia="en-US" w:bidi="en-US"/>
        </w:rPr>
      </w:pPr>
      <w:r>
        <w:rPr>
          <w:rFonts w:eastAsia="Times New Roman"/>
          <w:color w:val="000000"/>
          <w:sz w:val="24"/>
          <w:szCs w:val="24"/>
          <w:lang w:eastAsia="en-US" w:bidi="en-US"/>
        </w:rPr>
        <w:t xml:space="preserve">                                                                              </w:t>
      </w:r>
      <w:r>
        <w:rPr>
          <w:rFonts w:eastAsia="Lucida Sans Unicode"/>
          <w:color w:val="000000"/>
          <w:sz w:val="24"/>
          <w:szCs w:val="24"/>
          <w:lang w:eastAsia="en-US" w:bidi="en-US"/>
        </w:rPr>
        <w:t xml:space="preserve">к постановлению Администрации                 </w:t>
      </w:r>
    </w:p>
    <w:p>
      <w:pPr>
        <w:pStyle w:val="Normal"/>
        <w:widowControl w:val="false"/>
        <w:suppressAutoHyphens w:val="true"/>
        <w:jc w:val="right"/>
        <w:rPr>
          <w:rFonts w:eastAsia="Lucida Sans Unicode"/>
          <w:color w:val="000000"/>
          <w:sz w:val="24"/>
          <w:szCs w:val="24"/>
          <w:lang w:eastAsia="en-US" w:bidi="en-US"/>
        </w:rPr>
      </w:pPr>
      <w:r>
        <w:rPr>
          <w:rFonts w:eastAsia="Lucida Sans Unicode"/>
          <w:color w:val="000000"/>
          <w:sz w:val="24"/>
          <w:szCs w:val="24"/>
          <w:lang w:eastAsia="en-US" w:bidi="en-US"/>
        </w:rPr>
        <w:t>Верх-Аскизского сельсовета</w:t>
      </w:r>
    </w:p>
    <w:p>
      <w:pPr>
        <w:pStyle w:val="Normal"/>
        <w:widowControl w:val="false"/>
        <w:suppressAutoHyphens w:val="true"/>
        <w:jc w:val="right"/>
        <w:rPr>
          <w:color w:val="000000"/>
          <w:sz w:val="24"/>
          <w:szCs w:val="24"/>
          <w:lang w:eastAsia="en-US" w:bidi="en-US"/>
        </w:rPr>
      </w:pPr>
      <w:r>
        <w:rPr>
          <w:rFonts w:eastAsia="Times New Roman"/>
          <w:color w:val="000000"/>
          <w:sz w:val="24"/>
          <w:szCs w:val="24"/>
          <w:lang w:eastAsia="en-US" w:bidi="en-US"/>
        </w:rPr>
        <w:t xml:space="preserve">                            </w:t>
      </w:r>
      <w:r>
        <w:rPr>
          <w:rFonts w:eastAsia="Lucida Sans Unicode"/>
          <w:color w:val="000000"/>
          <w:sz w:val="24"/>
          <w:szCs w:val="24"/>
          <w:lang w:eastAsia="en-US" w:bidi="en-US"/>
        </w:rPr>
        <w:t xml:space="preserve">от 27.02.2018  № 21       </w:t>
      </w:r>
    </w:p>
    <w:p>
      <w:pPr>
        <w:pStyle w:val="Normal"/>
        <w:widowControl w:val="false"/>
        <w:suppressAutoHyphens w:val="true"/>
        <w:rPr>
          <w:rFonts w:eastAsia="Lucida Sans Unicode"/>
          <w:color w:val="000000"/>
          <w:sz w:val="24"/>
          <w:szCs w:val="24"/>
          <w:lang w:eastAsia="en-US" w:bidi="en-US"/>
        </w:rPr>
      </w:pPr>
      <w:r>
        <w:rPr>
          <w:rFonts w:eastAsia="Lucida Sans Unicode"/>
          <w:color w:val="000000"/>
          <w:sz w:val="24"/>
          <w:szCs w:val="24"/>
          <w:lang w:eastAsia="en-US" w:bidi="en-US"/>
        </w:rPr>
      </w:r>
    </w:p>
    <w:p>
      <w:pPr>
        <w:pStyle w:val="Normal"/>
        <w:widowControl w:val="false"/>
        <w:suppressAutoHyphens w:val="true"/>
        <w:jc w:val="center"/>
        <w:rPr>
          <w:rFonts w:eastAsia="Lucida Sans Unicode"/>
          <w:color w:val="000000"/>
          <w:sz w:val="24"/>
          <w:szCs w:val="24"/>
          <w:lang w:eastAsia="en-US" w:bidi="en-US"/>
        </w:rPr>
      </w:pPr>
      <w:r>
        <w:rPr>
          <w:rFonts w:eastAsia="Lucida Sans Unicode"/>
          <w:color w:val="000000"/>
          <w:sz w:val="24"/>
          <w:szCs w:val="24"/>
          <w:lang w:eastAsia="en-US" w:bidi="en-US"/>
        </w:rPr>
        <w:t>СХЕМА</w:t>
      </w:r>
    </w:p>
    <w:p>
      <w:pPr>
        <w:pStyle w:val="Normal"/>
        <w:widowControl w:val="false"/>
        <w:suppressAutoHyphens w:val="true"/>
        <w:jc w:val="center"/>
        <w:rPr>
          <w:color w:val="000000"/>
          <w:sz w:val="24"/>
          <w:szCs w:val="24"/>
          <w:lang w:eastAsia="en-US" w:bidi="en-US"/>
        </w:rPr>
      </w:pPr>
      <w:r>
        <w:rPr>
          <w:rFonts w:eastAsia="Times New Roman"/>
          <w:color w:val="000000"/>
          <w:sz w:val="24"/>
          <w:szCs w:val="24"/>
          <w:lang w:eastAsia="en-US" w:bidi="en-US"/>
        </w:rPr>
        <w:t xml:space="preserve"> </w:t>
      </w:r>
      <w:r>
        <w:rPr>
          <w:rFonts w:eastAsia="Lucida Sans Unicode"/>
          <w:color w:val="000000"/>
          <w:sz w:val="24"/>
          <w:szCs w:val="24"/>
          <w:lang w:eastAsia="en-US" w:bidi="en-US"/>
        </w:rPr>
        <w:t>мест размещения контейнерных площадок  для сбора  ТКО на территории</w:t>
      </w:r>
    </w:p>
    <w:p>
      <w:pPr>
        <w:pStyle w:val="Normal"/>
        <w:widowControl w:val="false"/>
        <w:suppressAutoHyphens w:val="true"/>
        <w:jc w:val="center"/>
        <w:rPr>
          <w:rFonts w:eastAsia="Lucida Sans Unicode"/>
          <w:color w:val="000000"/>
          <w:sz w:val="24"/>
          <w:szCs w:val="24"/>
          <w:lang w:eastAsia="en-US" w:bidi="en-US"/>
        </w:rPr>
      </w:pPr>
      <w:r>
        <w:rPr>
          <w:rFonts w:eastAsia="Lucida Sans Unicode"/>
          <w:color w:val="000000"/>
          <w:sz w:val="24"/>
          <w:szCs w:val="24"/>
          <w:lang w:eastAsia="en-US" w:bidi="en-US"/>
        </w:rPr>
        <w:t>Верх-Аскизского сельсовета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>д. Казановка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drawing>
          <wp:inline distT="0" distB="0" distL="0" distR="0">
            <wp:extent cx="5853430" cy="2630805"/>
            <wp:effectExtent l="0" t="0" r="0" b="0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13" r="-6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>с. Верх-Аскиз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drawing>
          <wp:inline distT="0" distB="0" distL="0" distR="0">
            <wp:extent cx="5861050" cy="285496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>с. Верх-Аскиз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drawing>
          <wp:inline distT="0" distB="0" distL="0" distR="0">
            <wp:extent cx="5998210" cy="2545715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6" t="-14" r="-6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>с. Верх-Аскиз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drawing>
          <wp:inline distT="0" distB="0" distL="0" distR="0">
            <wp:extent cx="5913120" cy="2669540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13" r="-6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>с. Верх-Аскиз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drawing>
          <wp:inline distT="0" distB="0" distL="0" distR="0">
            <wp:extent cx="5995035" cy="2841625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6" t="-12" r="-6" b="-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35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 xml:space="preserve"> 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>д. Казановка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drawing>
          <wp:inline distT="0" distB="0" distL="0" distR="0">
            <wp:extent cx="5929630" cy="2695575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13" r="-6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>с. Верх-Аскиз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drawing>
          <wp:inline distT="0" distB="0" distL="0" distR="0">
            <wp:extent cx="5886450" cy="265430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6" t="-13" r="-6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265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>с. Верх-Аскиз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drawing>
          <wp:inline distT="0" distB="0" distL="0" distR="0">
            <wp:extent cx="5928360" cy="1957705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3" t="-1607" r="13077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t>д. Казановка</w:t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  <w:drawing>
          <wp:inline distT="0" distB="0" distL="0" distR="0">
            <wp:extent cx="5833745" cy="2508250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6" t="-14" r="-6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240" w:hanging="0"/>
        <w:rPr>
          <w:sz w:val="26"/>
        </w:rPr>
      </w:pPr>
      <w:r>
        <w:rPr>
          <w:sz w:val="26"/>
        </w:rPr>
      </w:r>
    </w:p>
    <w:sectPr>
      <w:type w:val="nextPage"/>
      <w:pgSz w:w="11906" w:h="16838"/>
      <w:pgMar w:left="1701" w:right="567" w:header="0" w:top="567" w:footer="0" w:bottom="28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Calibri">
    <w:charset w:val="cc"/>
    <w:family w:val="swiss"/>
    <w:pitch w:val="variable"/>
  </w:font>
  <w:font w:name="Tahoma">
    <w:charset w:val="cc"/>
    <w:family w:val="swiss"/>
    <w:pitch w:val="variable"/>
  </w:font>
  <w:font w:name="Liberation Sans">
    <w:altName w:val="Arial"/>
    <w:charset w:val="01"/>
    <w:family w:val="swiss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Heading6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Heading7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DemiLight" w:cs="Noto Sans Devanagari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ru-RU" w:bidi="ar-SA" w:eastAsia="zh-CN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Calibri" w:hAnsi="Calibri" w:eastAsia="Times New Roman" w:cs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keepNext w:val="true"/>
      <w:numPr>
        <w:ilvl w:val="6"/>
        <w:numId w:val="1"/>
      </w:numPr>
      <w:jc w:val="center"/>
      <w:outlineLvl w:val="6"/>
    </w:pPr>
    <w:rPr>
      <w:b/>
      <w:sz w:val="26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b/>
    </w:rPr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Style12">
    <w:name w:val="Основной шрифт абзаца"/>
    <w:qFormat/>
    <w:rPr/>
  </w:style>
  <w:style w:type="character" w:styleId="6">
    <w:name w:val="Заголовок 6 Знак"/>
    <w:qFormat/>
    <w:rPr>
      <w:rFonts w:ascii="Calibri" w:hAnsi="Calibri" w:eastAsia="Times New Roman" w:cs="Times New Roman"/>
      <w:b/>
      <w:bCs/>
      <w:sz w:val="22"/>
      <w:szCs w:val="22"/>
    </w:rPr>
  </w:style>
  <w:style w:type="character" w:styleId="StrongEmphasis">
    <w:name w:val="Strong Emphasis"/>
    <w:qFormat/>
    <w:rPr>
      <w:b/>
      <w:bCs/>
    </w:rPr>
  </w:style>
  <w:style w:type="character" w:styleId="Style13">
    <w:name w:val="Текст выноски Знак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 DemiLight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Style14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LibreOffice/6.2.5.2$Linux_X86_64 LibreOffice_project/1ec314fa52f458adc18c4f025c545a4e8b22c159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2019-07-31T04:48:00Z</dcterms:created>
  <dc:creator>Admin</dc:creator>
  <dc:description/>
  <cp:keywords/>
  <dc:language>en-US</dc:language>
  <cp:lastModifiedBy>Пользователь Windows</cp:lastModifiedBy>
  <cp:lastPrinted>2019-07-31T09:46:00Z</cp:lastPrinted>
  <dcterms:modified xsi:type="dcterms:W3CDTF">2019-07-31T05:20:00Z</dcterms:modified>
  <cp:revision>4</cp:revision>
  <dc:subject/>
  <dc:title/>
</cp:coreProperties>
</file>